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Андеррайтинг на рынке ценных бумаг</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«Андеррайтинг на рынке ценных бумаг»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«Андеррайтинг на рынке ценных бумаг».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«Андеррайтинг на рынке ценных бумаг»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56.2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81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«Андеррайтинг на рынке ценных бумаг»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1.Понятие андеррайтинга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2.Правовые основы андеррайтинга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3.Виды андеррайтинга ценных бумаг.Андеррайтинг стенд-бай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4.Андеррайтинг выпуска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5.Лидеры андеррайтинга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1763.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1.Понятие андеррайтинга ценных бумаг</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Андеррайтинг на рынке ценных бумаг (underwriting) – организация выпуска и распределение ценных бумаг на рынке. Профессиональный участник рынка ценных бумаг, который осуществляет андеррайтинг, называется андеррайтером.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2.Правовые основы андеррайтинга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российским законодательством, андеррайтинговые услуги может предоставлять любое учреждение, получившее соответствующую лицензию Центробанка РФ - например, инвестиционный банк. Эта компания проводит презентации эмитента и его акций для потенциальных инвесторов и предлагает купить ценные бумаги.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3.Виды андеррайтинга ценных бумаг.Андеррайтинг стенд-бай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этой форме андеррайтинга, андеррайтер обязуется выкупить для последующего размещения часть эмиссии, которая предназначалась для реализации подписных прав и осталась невыкупленной старыми акционерами или теми, кто приобрел у них подписные права.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4.Андеррайтинг выпуска облигаций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Эмитент, который собирается привлечь средства на основе выпуска  ценных бумаг, для этого имеет только две принципиально отличные возможности: организовать эмиссию и размещение ценных бумаг самостоятельно или привлечь профессионалов на рынке ценных бумаг, т.е. воспользоваться услугами андеррайтера.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5.Лидеры андеррайтинга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России лидерами по организации андеррайтинга выступают: ВТБ Инвестиционная компания Тройка Диалог Сбербанк Райффайзенбанк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6.Процедуры андеррайтинга</w:t>
            </w:r>
          </w:p>
        </w:tc>
      </w:tr>
      <w:tr>
        <w:trPr>
          <w:trHeight w:hRule="exact" w:val="2561.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андеррайтинга состоит из следующих этапов:</w:t>
            </w:r>
          </w:p>
          <w:p>
            <w:pPr>
              <w:jc w:val="both"/>
              <w:spacing w:after="0" w:line="240" w:lineRule="auto"/>
              <w:rPr>
                <w:sz w:val="24"/>
                <w:szCs w:val="24"/>
              </w:rPr>
            </w:pPr>
            <w:r>
              <w:rPr>
                <w:rFonts w:ascii="Times New Roman" w:hAnsi="Times New Roman" w:cs="Times New Roman"/>
                <w:color w:val="#000000"/>
                <w:sz w:val="24"/>
                <w:szCs w:val="24"/>
              </w:rPr>
              <w:t> Определение характеристик выпуска и согласование условий размещения с эмитентом</w:t>
            </w:r>
          </w:p>
          <w:p>
            <w:pPr>
              <w:jc w:val="both"/>
              <w:spacing w:after="0" w:line="240" w:lineRule="auto"/>
              <w:rPr>
                <w:sz w:val="24"/>
                <w:szCs w:val="24"/>
              </w:rPr>
            </w:pPr>
            <w:r>
              <w:rPr>
                <w:rFonts w:ascii="Times New Roman" w:hAnsi="Times New Roman" w:cs="Times New Roman"/>
                <w:color w:val="#000000"/>
                <w:sz w:val="24"/>
                <w:szCs w:val="24"/>
              </w:rPr>
              <w:t> Синдицирование с другими финансовыми институтами, разделение рисков и обязанностей между участниками</w:t>
            </w:r>
          </w:p>
          <w:p>
            <w:pPr>
              <w:jc w:val="both"/>
              <w:spacing w:after="0" w:line="240" w:lineRule="auto"/>
              <w:rPr>
                <w:sz w:val="24"/>
                <w:szCs w:val="24"/>
              </w:rPr>
            </w:pPr>
            <w:r>
              <w:rPr>
                <w:rFonts w:ascii="Times New Roman" w:hAnsi="Times New Roman" w:cs="Times New Roman"/>
                <w:color w:val="#000000"/>
                <w:sz w:val="24"/>
                <w:szCs w:val="24"/>
              </w:rPr>
              <w:t>  Подача проспекта эмиссии, который содержит обязательные сведения о предприятии- эмитенте, в Центробанк РФ для прохождения регистрации</w:t>
            </w:r>
          </w:p>
          <w:p>
            <w:pPr>
              <w:jc w:val="both"/>
              <w:spacing w:after="0" w:line="240" w:lineRule="auto"/>
              <w:rPr>
                <w:sz w:val="24"/>
                <w:szCs w:val="24"/>
              </w:rPr>
            </w:pPr>
            <w:r>
              <w:rPr>
                <w:rFonts w:ascii="Times New Roman" w:hAnsi="Times New Roman" w:cs="Times New Roman"/>
                <w:color w:val="#000000"/>
                <w:sz w:val="24"/>
                <w:szCs w:val="24"/>
              </w:rPr>
              <w:t> Процедура андеррайтинга состоит из следующих этапов:</w:t>
            </w:r>
          </w:p>
          <w:p>
            <w:pPr>
              <w:jc w:val="both"/>
              <w:spacing w:after="0" w:line="240" w:lineRule="auto"/>
              <w:rPr>
                <w:sz w:val="24"/>
                <w:szCs w:val="24"/>
              </w:rPr>
            </w:pPr>
            <w:r>
              <w:rPr>
                <w:rFonts w:ascii="Times New Roman" w:hAnsi="Times New Roman" w:cs="Times New Roman"/>
                <w:color w:val="#000000"/>
                <w:sz w:val="24"/>
                <w:szCs w:val="24"/>
              </w:rPr>
              <w:t> Определение характеристик выпуска и согласование условий размещения с эмитентом</w:t>
            </w:r>
          </w:p>
          <w:p>
            <w:pPr>
              <w:jc w:val="both"/>
              <w:spacing w:after="0" w:line="240" w:lineRule="auto"/>
              <w:rPr>
                <w:sz w:val="24"/>
                <w:szCs w:val="24"/>
              </w:rPr>
            </w:pPr>
            <w:r>
              <w:rPr>
                <w:rFonts w:ascii="Times New Roman" w:hAnsi="Times New Roman" w:cs="Times New Roman"/>
                <w:color w:val="#000000"/>
                <w:sz w:val="24"/>
                <w:szCs w:val="24"/>
              </w:rPr>
              <w:t> Синдицирование с другими финансовыми институтами, разделение рисков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обязанностей между участниками</w:t>
            </w:r>
          </w:p>
          <w:p>
            <w:pPr>
              <w:jc w:val="both"/>
              <w:spacing w:after="0" w:line="240" w:lineRule="auto"/>
              <w:rPr>
                <w:sz w:val="24"/>
                <w:szCs w:val="24"/>
              </w:rPr>
            </w:pPr>
            <w:r>
              <w:rPr>
                <w:rFonts w:ascii="Times New Roman" w:hAnsi="Times New Roman" w:cs="Times New Roman"/>
                <w:color w:val="#000000"/>
                <w:sz w:val="24"/>
                <w:szCs w:val="24"/>
              </w:rPr>
              <w:t>  Подача проспекта эмиссии, который содержит обязательные сведения о предприятии- эмитенте, в Центробанк РФ для прохождения регистрации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«Андеррайтинг на рынке ценных бумаг»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Тавасиев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http://www.iprbookshop.ru/71190.html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http://www.iprbookshop.ru/76910.html</w:t>
            </w:r>
            <w:r>
              <w:rPr/>
              <w:t xml:space="preserve"> </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Андеррайтинг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Андеррайтинг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http://www.iprbookshop.ru/81741.html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коммерческом</w:t>
            </w:r>
            <w:r>
              <w:rPr/>
              <w:t xml:space="preserve"> </w:t>
            </w:r>
            <w:r>
              <w:rPr>
                <w:rFonts w:ascii="Times New Roman" w:hAnsi="Times New Roman" w:cs="Times New Roman"/>
                <w:color w:val="#000000"/>
                <w:sz w:val="24"/>
                <w:szCs w:val="24"/>
              </w:rPr>
              <w:t>обороте:</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https://urait.ru/bcode/454742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https://urait.ru/bcode/489491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коммерческом</w:t>
            </w:r>
            <w:r>
              <w:rPr/>
              <w:t xml:space="preserve"> </w:t>
            </w:r>
            <w:r>
              <w:rPr>
                <w:rFonts w:ascii="Times New Roman" w:hAnsi="Times New Roman" w:cs="Times New Roman"/>
                <w:color w:val="#000000"/>
                <w:sz w:val="24"/>
                <w:szCs w:val="24"/>
              </w:rPr>
              <w:t>обороте:</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https://urait.ru/bcode/441537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https://urait.ru/bcode/467070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Банковский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Вдовина,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Кудрявцева,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http://www.iprbookshop.ru/99751.html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54.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2024-2025_ФГОС3++2024_Бак-ОЗФО-Э(УРиСД)(24)_plx_Андеррайтинг на рынке ценных бумаг</dc:title>
  <dc:creator>FastReport.NET</dc:creator>
</cp:coreProperties>
</file>